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Activity Hazard Analysis (AHA) — Asbestos Abatement</w:t>
      </w:r>
    </w:p>
    <w:p>
      <w:r>
        <w:rPr>
          <w:i/>
          <w:sz w:val="16"/>
        </w:rPr>
        <w:t>SAMPLE formatted to EM 385-1-1 (15 March 2024) and ENG Form 6206 (SEP 2024) conventions. Adapt every step, hazard and control to actual site conditions; requires competent-person preparation, SSHO review and Government acceptance before the definable feature of work begins (EM 385-1-1 2024, para 2-6). Contracts solicited before 15 March 2024 remain governed by the 2014 edition — verify which edition your contract cites.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Activity/Work Task (DFOW): Asbestos Abatement</w:t>
            </w:r>
          </w:p>
        </w:tc>
        <w:tc>
          <w:tcPr>
            <w:tcW w:type="dxa" w:w="3528"/>
          </w:tcPr>
          <w:p>
            <w:r>
              <w:t>Date:</w:t>
            </w:r>
          </w:p>
        </w:tc>
        <w:tc>
          <w:tcPr>
            <w:tcW w:type="dxa" w:w="3528"/>
          </w:tcPr>
          <w:p>
            <w:r>
              <w:t>Project Location:</w:t>
            </w:r>
          </w:p>
        </w:tc>
        <w:tc>
          <w:tcPr>
            <w:tcW w:type="dxa" w:w="3528"/>
          </w:tcPr>
          <w:p>
            <w:r>
              <w:t>Contract Number:</w:t>
            </w:r>
          </w:p>
        </w:tc>
      </w:tr>
      <w:tr>
        <w:tc>
          <w:tcPr>
            <w:tcW w:type="dxa" w:w="3528"/>
          </w:tcPr>
          <w:p>
            <w:r>
              <w:t>Prepared By (Name/Title):</w:t>
            </w:r>
          </w:p>
        </w:tc>
        <w:tc>
          <w:tcPr>
            <w:tcW w:type="dxa" w:w="3528"/>
          </w:tcPr>
          <w:p>
            <w:r>
              <w:t>Reviewed By (Name/Title):</w:t>
            </w:r>
          </w:p>
        </w:tc>
        <w:tc>
          <w:tcPr>
            <w:tcW w:type="dxa" w:w="3528"/>
          </w:tcPr>
          <w:p>
            <w:r>
              <w:t>Notes:</w:t>
            </w:r>
          </w:p>
        </w:tc>
        <w:tc>
          <w:tcPr>
            <w:tcW w:type="dxa" w:w="3528"/>
          </w:tcPr>
          <w:p>
            <w:r>
              <w:t>Overall RAC: M</w:t>
            </w:r>
          </w:p>
        </w:tc>
      </w:tr>
    </w:tbl>
    <w:p>
      <w:pPr>
        <w:pStyle w:val="Heading1"/>
      </w:pPr>
      <w:r>
        <w:t>Job Steps, Hazards and Controls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JOB STEPS</w:t>
            </w:r>
          </w:p>
        </w:tc>
        <w:tc>
          <w:tcPr>
            <w:tcW w:type="dxa" w:w="3528"/>
          </w:tcPr>
          <w:p>
            <w:r>
              <w:t>HAZARDS</w:t>
            </w:r>
          </w:p>
        </w:tc>
        <w:tc>
          <w:tcPr>
            <w:tcW w:type="dxa" w:w="3528"/>
          </w:tcPr>
          <w:p>
            <w:r>
              <w:t>CONTROLS (actions to eliminate or minimize hazards)</w:t>
            </w:r>
          </w:p>
        </w:tc>
        <w:tc>
          <w:tcPr>
            <w:tcW w:type="dxa" w:w="3528"/>
          </w:tcPr>
          <w:p>
            <w:r>
              <w:t>RESIDUAL RAC</w:t>
            </w:r>
          </w:p>
        </w:tc>
      </w:tr>
      <w:tr>
        <w:tc>
          <w:tcPr>
            <w:tcW w:type="dxa" w:w="3528"/>
          </w:tcPr>
          <w:p>
            <w:r>
              <w:t>Mobilization, survey review, and regulatory notification</w:t>
            </w:r>
          </w:p>
        </w:tc>
        <w:tc>
          <w:tcPr>
            <w:tcW w:type="dxa" w:w="3528"/>
          </w:tcPr>
          <w:p>
            <w:r>
              <w:t>Unidentified or mischaracterized ACM disturbed because survey data is incomplete or not keyed to the work areas</w:t>
            </w:r>
          </w:p>
        </w:tc>
        <w:tc>
          <w:tcPr>
            <w:tcW w:type="dxa" w:w="3528"/>
          </w:tcPr>
          <w:p>
            <w:r>
              <w:t>• Obtain and review the asbestos survey required by EM 385-1-1 para 17-8.b, performed by trained and licensed inspectors, before pricing or sequencing any disturbance work.</w:t>
              <w:br/>
              <w:t>• Describe each activity that will disturb ACM in the written Asbestos Management Plan — OSHA class of work, crew size, procedures, and ACM components keyed to the project drawings (para 6-7.d(1)).</w:t>
              <w:br/>
              <w:t>• Treat any suspect material not covered by the survey as presumed ACM; stop work and sample before disturbance (29 CFR 1926.1101(k)).</w:t>
              <w:br/>
              <w:t>• Label all ACM as an asbestos hazard not to be disturbed without proper protection; where ACM is inaccessible to label, create and post a site map identifying hazard locations (para 6-8.f(1)(c)).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Regulatory violation from missing NESHAP notification or uncoordinated site employers</w:t>
            </w:r>
          </w:p>
        </w:tc>
        <w:tc>
          <w:tcPr>
            <w:tcW w:type="dxa" w:w="3528"/>
          </w:tcPr>
          <w:p>
            <w:r>
              <w:t>• Submit the 40 CFR 61 Subpart M notification to the administering agency at least 10 working days before regulated renovation/demolition work begins.</w:t>
              <w:br/>
              <w:t>• Implement the Asbestos Management Plan method for notifying other employers at the work site of regulated areas and scheduled abatement (para 6-7.d(2)).</w:t>
              <w:br/>
              <w:t>• Verify the AHA with its identified RAC has been reviewed, accepted, and signed by the approval authority (para 2-6.c(1)) and the Asbestos Management Plan has been accepted before mobilizing abatement crews.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Regulated area setup: critical barriers, containment, and decontamination unit</w:t>
            </w:r>
          </w:p>
        </w:tc>
        <w:tc>
          <w:tcPr>
            <w:tcW w:type="dxa" w:w="3528"/>
          </w:tcPr>
          <w:p>
            <w:r>
              <w:t>Fiber release beyond the work area from incomplete containment or unsealed penetrations</w:t>
            </w:r>
          </w:p>
        </w:tc>
        <w:tc>
          <w:tcPr>
            <w:tcW w:type="dxa" w:w="3528"/>
          </w:tcPr>
          <w:p>
            <w:r>
              <w:t>• Establish the regulated area, containment type, and decontamination unit exactly as described in the accepted Asbestos Management Plan (para 6-7.d(3)); demarcate and sign the regulated area per 29 CFR 1926.1101(e).</w:t>
              <w:br/>
              <w:t>• Isolate and seal HVAC intakes, grilles, and duct penetrations serving the work area before disturbing any ACM; coordinate system shutdown and lockout with the facility.</w:t>
              <w:br/>
              <w:t>• Post environmental (perimeter) air monitoring to demonstrate the absence of fiber migration outside the regulated area (para 6-7.d(4)(c)).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Electrical shock from temporary power, wet methods, and negative air machines in a wet enclosure</w:t>
            </w:r>
          </w:p>
        </w:tc>
        <w:tc>
          <w:tcPr>
            <w:tcW w:type="dxa" w:w="3528"/>
          </w:tcPr>
          <w:p>
            <w:r>
              <w:t>• Feed all containment power tools, negative air machines, and lighting through GFCI protection and inspect cords before each shift.</w:t>
              <w:br/>
              <w:t>• Route cords overhead and off wet floors; de-energize and lock out circuits within the containment that will be wetted or cut.</w:t>
              <w:br/>
              <w:t>• Use low-voltage or double-insulated lighting inside shower and wash-down areas.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Falls from ladders and baker scaffolds while hanging poly on ceilings and critical barriers</w:t>
            </w:r>
          </w:p>
        </w:tc>
        <w:tc>
          <w:tcPr>
            <w:tcW w:type="dxa" w:w="3528"/>
          </w:tcPr>
          <w:p>
            <w:r>
              <w:t>• Select ladders and rolling scaffolds rated for the task; maintain three points of contact and do not stand on the top two ladder steps.</w:t>
              <w:br/>
              <w:t>• Keep floor poly taut and taped, and dry-mop slick surfaces before repositioning ladders.</w:t>
              <w:br/>
              <w:t>• Provide fall protection for any barrier work at 6 ft or more above lower levels per EM 385-1-1 Ch 21.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Pre-abatement verification: negative pressure, smoke test, and worker clearance</w:t>
            </w:r>
          </w:p>
        </w:tc>
        <w:tc>
          <w:tcPr>
            <w:tcW w:type="dxa" w:w="3528"/>
          </w:tcPr>
          <w:p>
            <w:r>
              <w:t>Containment failure not detected before disturbance work starts</w:t>
            </w:r>
          </w:p>
        </w:tc>
        <w:tc>
          <w:tcPr>
            <w:tcW w:type="dxa" w:w="3528"/>
          </w:tcPr>
          <w:p>
            <w:r>
              <w:t>• Verify negative pressure enclosures hold the design pressure differential (typically -0.02 in. w.g.) on a recording manometer and smoke-test barriers and airlocks before first disturbance.</w:t>
              <w:br/>
              <w:t>• Evaluate the ventilation (negative air) system to confirm it functions as designed (para 6-5.c) and inspect filtration units per the manufacturer's instructions.</w:t>
              <w:br/>
              <w:t>• Document the pre-abatement inspection in the daily log per the inspection frequency set in the Asbestos Management Plan.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Unqualified or medically unfit workers entering the regulated area</w:t>
            </w:r>
          </w:p>
        </w:tc>
        <w:tc>
          <w:tcPr>
            <w:tcW w:type="dxa" w:w="3528"/>
          </w:tcPr>
          <w:p>
            <w:r>
              <w:t>• Verify every entrant holds current asbestos training for their role and exposure potential per OSHA/EPA standards — typically EPA/AHERA worker and supervisor accreditation for Class I/II work (para 6-3.h(2)).</w:t>
              <w:br/>
              <w:t>• Confirm current medical surveillance and respirator medical clearance for each worker before donning (paras 6-7.d(9), 5-7.b(3)).</w:t>
              <w:br/>
              <w:t>• Confirm current fit tests for tight-fitting respirators and document them in the RPP records (para 5-7.b(4)).</w:t>
              <w:br/>
              <w:t>• Have every involved employee review and sign the AHA before starting work (para 2-6.d(2)).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ACM removal (Class I/II work) inside containment</w:t>
            </w:r>
          </w:p>
        </w:tc>
        <w:tc>
          <w:tcPr>
            <w:tcW w:type="dxa" w:w="3528"/>
          </w:tcPr>
          <w:p>
            <w:r>
              <w:t>Airborne asbestos fiber exposure above the 0.1 f/cc PEL during gross removal</w:t>
            </w:r>
          </w:p>
        </w:tc>
        <w:tc>
          <w:tcPr>
            <w:tcW w:type="dxa" w:w="3528"/>
          </w:tcPr>
          <w:p>
            <w:r>
              <w:t>• Keep ACM adequately wetted with amended water from spray equipment before, during, and after removal; do not use compressed air to remove ACM unless it is used with an enclosed capture ventilation system (29 CFR 1926.1101(g)(1)).</w:t>
              <w:br/>
              <w:t>• Run HEPA-filtered negative air continuously and use HEPA vacuums for pickup — the filters must trap at least 99.97% of 0.3 micrometer particles (para 6-2.k).</w:t>
              <w:br/>
              <w:t>• Conduct the initial exposure determination and continued personal air monitoring per the air monitoring plan (para 6-7.d(4)(a)-(b)).</w:t>
              <w:br/>
              <w:t>• Use respirators selected under the written site-specific RPP per 29 CFR 1910.134 (para 5-7.b), upgrading protection factor whenever monitoring or work class requires it.</w:t>
              <w:br/>
              <w:t>• Bag or wrap removed material while wet as work progresses; do not allow dried debris to accumulate (housekeeping per para 6-7.d(6)).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Heat stress from impermeable coveralls and respirators inside a sealed enclosure</w:t>
            </w:r>
          </w:p>
        </w:tc>
        <w:tc>
          <w:tcPr>
            <w:tcW w:type="dxa" w:w="3528"/>
          </w:tcPr>
          <w:p>
            <w:r>
              <w:t>• Establish a work/rest schedule based on monitored heat stress conditions and adjust for the added burden of PPE per the Thermal Stress Management Plan (paras 6-8.m, 6-7.g).</w:t>
              <w:br/>
              <w:t>• Stage cool potable water and a shaded rest area immediately outside the decon unit; require hydration at each exit.</w:t>
              <w:br/>
              <w:t>• Schedule gross removal for cooler parts of the shift where feasible and rotate crews through high-exertion tasks.</w:t>
              <w:br/>
              <w:t>• Implement a buddy system and train workers to recognize heat illness signs in themselves and co-workers; empower any worker to call a break (para 6-8.m(1)).</w:t>
            </w:r>
          </w:p>
        </w:tc>
        <w:tc>
          <w:tcPr>
            <w:tcW w:type="dxa" w:w="3528"/>
          </w:tcPr>
          <w:p>
            <w:r>
              <w:t>M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Slips, trips, and cuts on wet poly, hoses, and sharp lath or mechanical edges</w:t>
            </w:r>
          </w:p>
        </w:tc>
        <w:tc>
          <w:tcPr>
            <w:tcW w:type="dxa" w:w="3528"/>
          </w:tcPr>
          <w:p>
            <w:r>
              <w:t>• Maintain clear pathways to airlocks; coil hoses and cords against walls between uses.</w:t>
              <w:br/>
              <w:t>• Wet-mop and pick up debris continuously rather than allowing piles to build under foot.</w:t>
              <w:br/>
              <w:t>• Use cut-resistant gloves for scraping and demolition of jagged substrates; keep utility knives retracted when not cutting.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Waste bag-out, decontamination, and load-out</w:t>
            </w:r>
          </w:p>
        </w:tc>
        <w:tc>
          <w:tcPr>
            <w:tcW w:type="dxa" w:w="3528"/>
          </w:tcPr>
          <w:p>
            <w:r>
              <w:t>Contamination spread beyond the regulated area during bag-out and worker exit</w:t>
            </w:r>
          </w:p>
        </w:tc>
        <w:tc>
          <w:tcPr>
            <w:tcW w:type="dxa" w:w="3528"/>
          </w:tcPr>
          <w:p>
            <w:r>
              <w:t>• Double-bag or wrap waste in labeled 6-mil bags/poly, HEPA-vacuum and wet-wipe bag exteriors in the airlock before transfer out of containment (paras 6-7.d(6), 6-7.d(10)).</w:t>
              <w:br/>
              <w:t>• Require full decontamination sequence — HEPA vacuum of suits, suit drop, shower, clean change — for every exit through the decon unit (para 6-7.d(7)).</w:t>
              <w:br/>
              <w:t>• Clean, inspect, and maintain reusable PPE before reissue; inspect all PPE visually before each use and tag defective equipment out of service (para 5-5.b).</w:t>
              <w:br/>
              <w:t>• Restrict load-out routes and secure the waste accumulation area per the plan's security procedures (para 6-7.d(11)).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Manual handling injuries from lifting saturated waste bags and drums</w:t>
            </w:r>
          </w:p>
        </w:tc>
        <w:tc>
          <w:tcPr>
            <w:tcW w:type="dxa" w:w="3528"/>
          </w:tcPr>
          <w:p>
            <w:r>
              <w:t>• Limit bag fill so wet waste remains a one-person lift or assign two-person lifts and carts for heavier containers.</w:t>
              <w:br/>
              <w:t>• Stage waste close to the airlock and use drum dollies or carts for transport to the lockable container.</w:t>
              <w:br/>
              <w:t>• Train crews in lifting technique and rotate bag-out duty during long shifts.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Final cleaning, visual inspection, and clearance air monitoring</w:t>
            </w:r>
          </w:p>
        </w:tc>
        <w:tc>
          <w:tcPr>
            <w:tcW w:type="dxa" w:w="3528"/>
          </w:tcPr>
          <w:p>
            <w:r>
              <w:t>Residual contamination left in place and released to building occupants after teardown</w:t>
            </w:r>
          </w:p>
        </w:tc>
        <w:tc>
          <w:tcPr>
            <w:tcW w:type="dxa" w:w="3528"/>
          </w:tcPr>
          <w:p>
            <w:r>
              <w:t>• Perform sequenced final cleaning (HEPA vacuum and wet wipe of all surfaces) followed by a documented visual inspection by the abatement CP before clearance sampling.</w:t>
              <w:br/>
              <w:t>• Have clearance monitoring conducted by an independent IH or a QP per contract specifications (para 6-7.d(4)(d)); do not remove critical barriers until clearance criteria are met.</w:t>
              <w:br/>
              <w:t>• Keep negative air units running through final cleaning, settling, and clearance sampling.</w:t>
              <w:br/>
              <w:t>• Apply lock-down encapsulant to substrate surfaces per the specification before reoccupancy where required by UFGS 02 82 00.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Containment teardown and demobilization</w:t>
            </w:r>
          </w:p>
        </w:tc>
        <w:tc>
          <w:tcPr>
            <w:tcW w:type="dxa" w:w="3528"/>
          </w:tcPr>
          <w:p>
            <w:r>
              <w:t>Fiber release from contaminated poly and equipment during teardown</w:t>
            </w:r>
          </w:p>
        </w:tc>
        <w:tc>
          <w:tcPr>
            <w:tcW w:type="dxa" w:w="3528"/>
          </w:tcPr>
          <w:p>
            <w:r>
              <w:t>• Remove containment layers only after written clearance; mist, fold contaminated side inward, and bag all poly as asbestos waste.</w:t>
              <w:br/>
              <w:t>• HEPA-vacuum and wet-wipe negative air machines, tools, and cords before removal from the regulated area; change or seal filters per the manufacturer's instructions.</w:t>
              <w:br/>
              <w:t>• Maintain respiratory protection and decon procedures for teardown crews until the last critical barrier and airlock are removed.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/>
          </w:p>
        </w:tc>
        <w:tc>
          <w:tcPr>
            <w:tcW w:type="dxa" w:w="3528"/>
          </w:tcPr>
          <w:p>
            <w:r>
              <w:t>Falls during removal of overhead barriers and scaffold breakdown</w:t>
            </w:r>
          </w:p>
        </w:tc>
        <w:tc>
          <w:tcPr>
            <w:tcW w:type="dxa" w:w="3528"/>
          </w:tcPr>
          <w:p>
            <w:r>
              <w:t>• Reverse the erection sequence with the same ladder/scaffold controls used during setup; maintain three points of contact.</w:t>
              <w:br/>
              <w:t>• Keep teardown areas clear of loose poly and debris underfoot before working overhead.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  <w:tr>
        <w:tc>
          <w:tcPr>
            <w:tcW w:type="dxa" w:w="3528"/>
          </w:tcPr>
          <w:p>
            <w:r>
              <w:t>Waste transport and disposal</w:t>
            </w:r>
          </w:p>
        </w:tc>
        <w:tc>
          <w:tcPr>
            <w:tcW w:type="dxa" w:w="3528"/>
          </w:tcPr>
          <w:p>
            <w:r>
              <w:t>Improper transport or disposal of regulated asbestos-containing waste</w:t>
            </w:r>
          </w:p>
        </w:tc>
        <w:tc>
          <w:tcPr>
            <w:tcW w:type="dxa" w:w="3528"/>
          </w:tcPr>
          <w:p>
            <w:r>
              <w:t>• Containerize, label, manifest, and dispose of waste at a landfill approved for asbestos per 40 CFR 61 Subpart M, following the plan's waste generation, containerization, transportation, and disposal procedures including recordkeeping (para 6-7.d(10)).</w:t>
              <w:br/>
              <w:t>• Assign a QP to oversee storage of the waste prior to transportation (para 6-4.b).</w:t>
              <w:br/>
              <w:t>• Line and enclose transport containers; keep waste adequately wet and secured against release in transit.</w:t>
              <w:br/>
              <w:t>• Retain waste shipment records and disposal receipts with the project files for the durations required by the NESHAP and the contract.</w:t>
            </w:r>
          </w:p>
        </w:tc>
        <w:tc>
          <w:tcPr>
            <w:tcW w:type="dxa" w:w="3528"/>
          </w:tcPr>
          <w:p>
            <w:r>
              <w:t>L</w:t>
            </w:r>
          </w:p>
        </w:tc>
      </w:tr>
    </w:tbl>
    <w:p>
      <w:pPr>
        <w:pStyle w:val="Heading1"/>
      </w:pPr>
      <w:r>
        <w:t>Equipment · Training · Inspections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>
              <w:t>EQUIPMENT</w:t>
            </w:r>
          </w:p>
        </w:tc>
        <w:tc>
          <w:tcPr>
            <w:tcW w:type="dxa" w:w="4704"/>
          </w:tcPr>
          <w:p>
            <w:r>
              <w:t>TRAINING</w:t>
            </w:r>
          </w:p>
        </w:tc>
        <w:tc>
          <w:tcPr>
            <w:tcW w:type="dxa" w:w="4704"/>
          </w:tcPr>
          <w:p>
            <w:r>
              <w:t>INSPECTION</w:t>
            </w:r>
          </w:p>
        </w:tc>
      </w:tr>
      <w:tr>
        <w:tc>
          <w:tcPr>
            <w:tcW w:type="dxa" w:w="4704"/>
          </w:tcPr>
          <w:p>
            <w:r>
              <w:t>• HEPA-filtered negative air machines with recording manometer (filters rated 99.97% at 0.3 micrometers, para 6-2.k)</w:t>
              <w:br/>
              <w:t>• HEPA vacuums</w:t>
              <w:br/>
              <w:t>• Airless sprayers / garden sprayers with amended water for wet methods</w:t>
              <w:br/>
              <w:t>• 6-mil polyethylene sheeting, spray adhesive, and tape for critical barriers and containment</w:t>
              <w:br/>
              <w:t>• Three-stage decontamination unit (equipment room, shower, clean room) with heated water</w:t>
              <w:br/>
              <w:t>• Respirators per the site RPP (half-mask APR minimum; PAPR or supplied air as work class and monitoring require)</w:t>
              <w:br/>
              <w:t>• Disposable coveralls (with hood/booties), gloves, and eye protection</w:t>
              <w:br/>
              <w:t>• Labeled 6-mil asbestos waste bags, drums, and a lockable waste container</w:t>
              <w:br/>
              <w:t>• Personal and area air sampling pumps with calibration equipment (inspected per manufacturer's instructions, para 6-5.a)</w:t>
              <w:br/>
              <w:t>• GFCI-protected temporary power, cords, and low-voltage containment lighting</w:t>
              <w:br/>
              <w:t>• Ladders and rolling scaffolds for barrier installation</w:t>
              <w:br/>
              <w:t>• Plumbed or self-contained emergency eyewash where injurious materials (e.g., encapsulants, amended-water surfactants) are used (provided per para 6-8.e; inspected per para 6-5.b)</w:t>
            </w:r>
          </w:p>
        </w:tc>
        <w:tc>
          <w:tcPr>
            <w:tcW w:type="dxa" w:w="4704"/>
          </w:tcPr>
          <w:p>
            <w:r>
              <w:t>• Asbestos training tiered by exposure potential and job responsibilities per applicable OSHA/EPA standards — EPA/AHERA-accredited worker and contractor/supervisor courses with current refreshers for Class I/II work (EM 385-1-1 para 6-3.h(2))</w:t>
              <w:br/>
              <w:t>• Respiratory protection training: hazards, selection, donning/doffing, user seal checks, limitations, and maintenance, plus annual fit testing and medical evaluation (paras 5-3.c, 5-7.b; 29 CFR 1910.134)</w:t>
              <w:br/>
              <w:t>• Medical surveillance for asbestos-exposed workers and respirator users per the Asbestos Management Plan (para 6-7.d(9)) and 29 CFR 1926.1101(m)</w:t>
              <w:br/>
              <w:t>• Hazard communication training on chemicals in use (amended water surfactants, encapsulants, mastics removers) with SDSs attached to the AHA (paras 6-3.b, 6-6)</w:t>
              <w:br/>
              <w:t>• AHA review and signature by every involved employee before starting work, and after any update for changed conditions (para 2-6.d(2), 2-6.d(5))</w:t>
              <w:br/>
              <w:t>• Thermal stress training for crews working in impermeable PPE: illnesses and injuries, signs and symptoms, prevention, and first aid (paras 6-3.c, 6-7.g)</w:t>
            </w:r>
          </w:p>
        </w:tc>
        <w:tc>
          <w:tcPr>
            <w:tcW w:type="dxa" w:w="4704"/>
          </w:tcPr>
          <w:p>
            <w:r>
              <w:t>• Pre-abatement and daily containment inspections: smoke-test barriers/airlocks and verify negative pressure on the recording manometer at the frequency set in the Asbestos Management Plan</w:t>
              <w:br/>
              <w:t>• Ventilation (negative air) systems evaluated to confirm they function as designed; at least annually for continued service (para 6-5.c)</w:t>
              <w:br/>
              <w:t>• Air sampling and monitoring equipment inspected and calibrated per the manufacturer's instructions (para 6-5.a)</w:t>
              <w:br/>
              <w:t>• Personal air monitoring per the air monitoring plan; environmental monitoring to demonstrate no fiber migration outside the regulated area; independent clearance monitoring before teardown (para 6-7.d(4))</w:t>
              <w:br/>
              <w:t>• PPE visually inspected before each use; defective equipment tagged out of service and removed; reused PPE cleaned, inspected, and repaired before reissue (para 5-5.b)</w:t>
              <w:br/>
              <w:t>• Plumbed eyewash units activated and documented weekly; self-contained units visually inspected weekly; annual ANSI/ISEA Z358.1 compliance inspection (para 6-5.b)</w:t>
              <w:br/>
              <w:t>• GFCI devices and temporary power inspected per EM 385-1-1 Ch 11 requirements</w:t>
              <w:br/>
              <w:t>• For abatement inside a demolition/renovation DFOW: CP inspections throughout demolition for weakened or deteriorated floors, walls, or loosened material at the frequency in the Demolition Plan (para 17-5)</w:t>
            </w:r>
          </w:p>
        </w:tc>
      </w:tr>
    </w:tbl>
    <w:p>
      <w:pPr>
        <w:pStyle w:val="Heading1"/>
      </w:pPr>
      <w:r>
        <w:t>Competent / Qualified Person Designation</w:t>
      </w:r>
    </w:p>
    <w:p>
      <w:pPr>
        <w:pStyle w:val="ListBullet"/>
      </w:pPr>
      <w:r>
        <w:t>Asbestos Competent Person (abatement supervisor) per 29 CFR 1926.1101(o) — EPA/AHERA contractor/supervisor accredited, on site for Class I/II work; designated in writing by name on the AHA (para 2-6.d(4)(g))</w:t>
      </w:r>
    </w:p>
    <w:p>
      <w:pPr>
        <w:pStyle w:val="ListBullet"/>
      </w:pPr>
      <w:r>
        <w:t>Respiratory Protection Program Administrator (RPPA) qualified and trained per para 5-3.c(1) to administer the written site-specific RPP (para 5-7.b)</w:t>
      </w:r>
    </w:p>
    <w:p>
      <w:pPr>
        <w:pStyle w:val="ListBullet"/>
      </w:pPr>
      <w:r>
        <w:t>Independent Industrial Hygienist or Qualified Person for clearance air monitoring per contract specifications (para 6-7.d(4)(d)); an IH performs the hazard evaluation and reviews monitoring results (para 6-4.a)</w:t>
      </w:r>
    </w:p>
    <w:p>
      <w:pPr>
        <w:pStyle w:val="ListBullet"/>
      </w:pPr>
      <w:r>
        <w:t>Qualified Person (QP) overseeing storage of hazardous wastes prior to transportation (para 6-4.b)</w:t>
      </w:r>
    </w:p>
    <w:p>
      <w:pPr>
        <w:pStyle w:val="ListBullet"/>
      </w:pPr>
      <w:r>
        <w:t>Trained and licensed asbestos inspectors for the pre-work survey when the abatement supports demolition/renovation (para 17-8.b)</w:t>
      </w:r>
    </w:p>
    <w:p>
      <w:r>
        <w:t>Designated CP/QP (name / role / proof of competency): ____________________</w:t>
      </w:r>
    </w:p>
    <w:p>
      <w:pPr>
        <w:pStyle w:val="Heading1"/>
      </w:pPr>
      <w:r>
        <w:t>Approval Authority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PRINTED NAME</w:t>
            </w:r>
          </w:p>
        </w:tc>
        <w:tc>
          <w:tcPr>
            <w:tcW w:type="dxa" w:w="3528"/>
          </w:tcPr>
          <w:p>
            <w:r>
              <w:t>PRINTED TITLE</w:t>
            </w:r>
          </w:p>
        </w:tc>
        <w:tc>
          <w:tcPr>
            <w:tcW w:type="dxa" w:w="3528"/>
          </w:tcPr>
          <w:p>
            <w:r>
              <w:t>DATE</w:t>
            </w:r>
          </w:p>
        </w:tc>
        <w:tc>
          <w:tcPr>
            <w:tcW w:type="dxa" w:w="3528"/>
          </w:tcPr>
          <w:p>
            <w:r>
              <w:t>SIGNATURE</w:t>
            </w:r>
          </w:p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</w:tbl>
    <w:p>
      <w:r>
        <w:rPr>
          <w:sz w:val="16"/>
        </w:rPr>
        <w:t>Approval Authority is based on overall RAC per EM 385-1-1 (2024), para 1-6 or 2-6, as applicable.</w:t>
      </w:r>
    </w:p>
    <w:p>
      <w:r>
        <w:br w:type="page"/>
      </w:r>
    </w:p>
    <w:p>
      <w:pPr>
        <w:pStyle w:val="Heading1"/>
      </w:pPr>
      <w:r>
        <w:t>Employee Documentation Sheet</w:t>
      </w:r>
    </w:p>
    <w:p>
      <w:r>
        <w:t>AHAs must be provided to and reviewed by all involved employees prior to starting the task. Each employee must document their review with a signature (EM 385-1-1 2024, para 2-6.d(2)).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3528"/>
          </w:tcPr>
          <w:p>
            <w:r>
              <w:t>NAME</w:t>
            </w:r>
          </w:p>
        </w:tc>
        <w:tc>
          <w:tcPr>
            <w:tcW w:type="dxa" w:w="3528"/>
          </w:tcPr>
          <w:p>
            <w:r>
              <w:t>OCCUPATION / DESIGNATION (CP/QP)</w:t>
            </w:r>
          </w:p>
        </w:tc>
        <w:tc>
          <w:tcPr>
            <w:tcW w:type="dxa" w:w="3528"/>
          </w:tcPr>
          <w:p>
            <w:r>
              <w:t>SIGNATURE</w:t>
            </w:r>
          </w:p>
        </w:tc>
        <w:tc>
          <w:tcPr>
            <w:tcW w:type="dxa" w:w="3528"/>
          </w:tcPr>
          <w:p>
            <w:r>
              <w:t>DATE</w:t>
            </w:r>
          </w:p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  <w:tr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  <w:tc>
          <w:tcPr>
            <w:tcW w:type="dxa" w:w="3528"/>
          </w:tcPr>
          <w:p/>
        </w:tc>
      </w:tr>
    </w:tbl>
    <w:p>
      <w:pPr>
        <w:pStyle w:val="Heading1"/>
      </w:pPr>
      <w:r>
        <w:t>References</w:t>
      </w:r>
    </w:p>
    <w:p>
      <w:pPr>
        <w:pStyle w:val="ListBullet"/>
      </w:pPr>
      <w:r>
        <w:t>EM 385-1-1 (2024) 6-3.h(2) — Exposure Potential Training — Asbestos (training and certification tiered by exposure potential per OSHA/EPA standards)</w:t>
      </w:r>
    </w:p>
    <w:p>
      <w:pPr>
        <w:pStyle w:val="ListBullet"/>
      </w:pPr>
      <w:r>
        <w:t>EM 385-1-1 (2024) 6-7.d — Asbestos Management Plan (written plan required when work may disturb ACM; 11 required elements)</w:t>
      </w:r>
    </w:p>
    <w:p>
      <w:pPr>
        <w:pStyle w:val="ListBullet"/>
      </w:pPr>
      <w:r>
        <w:t>EM 385-1-1 (2024) 6-8.f(1) — Asbestos Hazard Control (evaluate all projects for ACM contact; label ACM or post site map; no friable ACM brought onto USACE projects)</w:t>
      </w:r>
    </w:p>
    <w:p>
      <w:pPr>
        <w:pStyle w:val="ListBullet"/>
      </w:pPr>
      <w:r>
        <w:t>EM 385-1-1 (2024) 6-5 — Ch 6 Inspection Requirements (monitoring equipment, eyewash units, ventilation systems)</w:t>
      </w:r>
    </w:p>
    <w:p>
      <w:pPr>
        <w:pStyle w:val="ListBullet"/>
      </w:pPr>
      <w:r>
        <w:t>EM 385-1-1 (2024) 6-6 — Ch 6 AHA Requirements (incorporate SDS information; attach SDS to AHA)</w:t>
      </w:r>
    </w:p>
    <w:p>
      <w:pPr>
        <w:pStyle w:val="ListBullet"/>
      </w:pPr>
      <w:r>
        <w:t>EM 385-1-1 (2024) 5-7.b — Respiratory Protection Program (written site-specific RPP per 29 CFR 1910.134)</w:t>
      </w:r>
    </w:p>
    <w:p>
      <w:pPr>
        <w:pStyle w:val="ListBullet"/>
      </w:pPr>
      <w:r>
        <w:t>EM 385-1-1 (2024) 5-3.c — Respiratory Protection Training/Qualification (RPPA, medical evaluation, fit testing)</w:t>
      </w:r>
    </w:p>
    <w:p>
      <w:pPr>
        <w:pStyle w:val="ListBullet"/>
      </w:pPr>
      <w:r>
        <w:t>EM 385-1-1 (2024) 5-5.b — PPE Inspection Requirements (visual inspection before each use)</w:t>
      </w:r>
    </w:p>
    <w:p>
      <w:pPr>
        <w:pStyle w:val="ListBullet"/>
      </w:pPr>
      <w:r>
        <w:t>EM 385-1-1 (2024) 17-8.b — Lead, Asbestos, and ORM Surveys before demolition/renovation (trained and licensed inspectors per Ch 6)</w:t>
      </w:r>
    </w:p>
    <w:p>
      <w:pPr>
        <w:pStyle w:val="ListBullet"/>
      </w:pPr>
      <w:r>
        <w:t>EM 385-1-1 (2024) 17-8.d(3) — Abatement of lead, asbestos, and ORM completed before structural demolition begins</w:t>
      </w:r>
    </w:p>
    <w:p>
      <w:pPr>
        <w:pStyle w:val="ListBullet"/>
      </w:pPr>
      <w:r>
        <w:t>EM 385-1-1 (2024) 2-6 — Contractor AHA requirements (hierarchy of controls, residual RAC, CP/QP designation by name)</w:t>
      </w:r>
    </w:p>
    <w:p>
      <w:pPr>
        <w:pStyle w:val="ListBullet"/>
      </w:pPr>
      <w:r>
        <w:t>29 CFR 1926.1101 — Asbestos (Construction, Subpart Z) — work classes, PEL 0.1 f/cc TWA, competent person, regulated areas</w:t>
      </w:r>
    </w:p>
    <w:p>
      <w:pPr>
        <w:pStyle w:val="ListBullet"/>
      </w:pPr>
      <w:r>
        <w:t>29 CFR 1910.134 — Respiratory Protection — medical evaluation, fit testing, written program</w:t>
      </w:r>
    </w:p>
    <w:p>
      <w:pPr>
        <w:pStyle w:val="ListBullet"/>
      </w:pPr>
      <w:r>
        <w:t>40 CFR 61 Subpart M — National Emission Standard for Asbestos (NESHAP) — notification, emission controls, waste disposal</w:t>
      </w:r>
    </w:p>
    <w:p>
      <w:pPr>
        <w:pStyle w:val="ListBullet"/>
      </w:pPr>
      <w:r>
        <w:t>UFGS 02 82 00 — Asbestos Remediation — typical contract specification for federal abatement work</w:t>
      </w:r>
    </w:p>
    <w:sectPr w:rsidR="00FC693F" w:rsidRPr="0006063C" w:rsidSect="00034616">
      <w:pgSz w:w="15840" w:h="12240" w:orient="landscape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