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Activity Hazard Analysis (AHA) — HVAC / Mechanical Equipment Installation</w:t>
      </w:r>
    </w:p>
    <w:p>
      <w:r>
        <w:rPr>
          <w:i/>
          <w:sz w:val="16"/>
        </w:rPr>
        <w:t>SAMPLE formatted to EM 385-1-1 (15 March 2024) and ENG Form 6206 (SEP 2024) conventions. Adapt every step, hazard and control to actual site conditions; requires competent-person preparation, SSHO review and Government acceptance before the definable feature of work begins (EM 385-1-1 2024, para 2-6). Contracts solicited before 15 March 2024 remain governed by the 2014 edition — verify which edition your contract cites.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Activity/Work Task (DFOW): HVAC / Mechanical Equipment Installation</w:t>
            </w:r>
          </w:p>
        </w:tc>
        <w:tc>
          <w:tcPr>
            <w:tcW w:type="dxa" w:w="3528"/>
          </w:tcPr>
          <w:p>
            <w:r>
              <w:t>Date:</w:t>
            </w:r>
          </w:p>
        </w:tc>
        <w:tc>
          <w:tcPr>
            <w:tcW w:type="dxa" w:w="3528"/>
          </w:tcPr>
          <w:p>
            <w:r>
              <w:t>Project Location:</w:t>
            </w:r>
          </w:p>
        </w:tc>
        <w:tc>
          <w:tcPr>
            <w:tcW w:type="dxa" w:w="3528"/>
          </w:tcPr>
          <w:p>
            <w:r>
              <w:t>Contract Number:</w:t>
            </w:r>
          </w:p>
        </w:tc>
      </w:tr>
      <w:tr>
        <w:tc>
          <w:tcPr>
            <w:tcW w:type="dxa" w:w="3528"/>
          </w:tcPr>
          <w:p>
            <w:r>
              <w:t>Prepared By (Name/Title):</w:t>
            </w:r>
          </w:p>
        </w:tc>
        <w:tc>
          <w:tcPr>
            <w:tcW w:type="dxa" w:w="3528"/>
          </w:tcPr>
          <w:p>
            <w:r>
              <w:t>Reviewed By (Name/Title):</w:t>
            </w:r>
          </w:p>
        </w:tc>
        <w:tc>
          <w:tcPr>
            <w:tcW w:type="dxa" w:w="3528"/>
          </w:tcPr>
          <w:p>
            <w:r>
              <w:t>Notes:</w:t>
            </w:r>
          </w:p>
        </w:tc>
        <w:tc>
          <w:tcPr>
            <w:tcW w:type="dxa" w:w="3528"/>
          </w:tcPr>
          <w:p>
            <w:r>
              <w:t>Overall RAC: M</w:t>
            </w:r>
          </w:p>
        </w:tc>
      </w:tr>
    </w:tbl>
    <w:p>
      <w:pPr>
        <w:pStyle w:val="Heading1"/>
      </w:pPr>
      <w:r>
        <w:t>Job Steps, Hazards and Controls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JOB STEPS</w:t>
            </w:r>
          </w:p>
        </w:tc>
        <w:tc>
          <w:tcPr>
            <w:tcW w:type="dxa" w:w="3528"/>
          </w:tcPr>
          <w:p>
            <w:r>
              <w:t>HAZARDS</w:t>
            </w:r>
          </w:p>
        </w:tc>
        <w:tc>
          <w:tcPr>
            <w:tcW w:type="dxa" w:w="3528"/>
          </w:tcPr>
          <w:p>
            <w:r>
              <w:t>CONTROLS (actions to eliminate or minimize hazards)</w:t>
            </w:r>
          </w:p>
        </w:tc>
        <w:tc>
          <w:tcPr>
            <w:tcW w:type="dxa" w:w="3528"/>
          </w:tcPr>
          <w:p>
            <w:r>
              <w:t>RESIDUAL RAC</w:t>
            </w:r>
          </w:p>
        </w:tc>
      </w:tr>
      <w:tr>
        <w:tc>
          <w:tcPr>
            <w:tcW w:type="dxa" w:w="3528"/>
          </w:tcPr>
          <w:p>
            <w:r>
              <w:t>Mobilization, equipment delivery, offloading, and staging of HVAC units and materials</w:t>
            </w:r>
          </w:p>
        </w:tc>
        <w:tc>
          <w:tcPr>
            <w:tcW w:type="dxa" w:w="3528"/>
          </w:tcPr>
          <w:p>
            <w:r>
              <w:t>Struck-by or crushed-by during forklift/telehandler offloading of AHUs, RTUs, and duct bundles</w:t>
            </w:r>
          </w:p>
        </w:tc>
        <w:tc>
          <w:tcPr>
            <w:tcW w:type="dxa" w:w="3528"/>
          </w:tcPr>
          <w:p>
            <w:r>
              <w:t>• Permit only operators trained, qualified, and designated according to 29 CFR 1910.178 — classroom plus practical operation, on the same type of truck used on the job — to operate forklifts or telehandlers (18-3.f, 18-8.i(3)).</w:t>
              <w:br/>
              <w:t>• Verify each forklift and telehandler meets ANSI/ITSDF B56.1 and has its rated capacity posted, clearly visible to the operator; never exceed the ratings (18-8.i, 18-8.i(2)).</w:t>
              <w:br/>
              <w:t>• Establish a marked exclusion zone around the offloading area and prohibit workers from standing between the load and fixed objects or under any raised load.</w:t>
              <w:br/>
              <w:t>• Use a trained spotter with agreed hand signals when the operator's view of the travel path or set-down point is obstructed.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Back and shoulder strains from manually handling duct sections, VAV boxes, and pipe</w:t>
            </w:r>
          </w:p>
        </w:tc>
        <w:tc>
          <w:tcPr>
            <w:tcW w:type="dxa" w:w="3528"/>
          </w:tcPr>
          <w:p>
            <w:r>
              <w:t>• Train all crews on safe lifting techniques before manual handling begins (14-3.a).</w:t>
              <w:br/>
              <w:t>• Substitute mechanical handling — pallet jacks, duct lifts, carts — for manual carries wherever the route allows.</w:t>
              <w:br/>
              <w:t>• Enforce two-person lifts for duct sections and equipment over roughly 50 lb and plan carry routes clear of debris before the lift.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Collapse of stacked materials or failure of storage racking in the laydown area</w:t>
            </w:r>
          </w:p>
        </w:tc>
        <w:tc>
          <w:tcPr>
            <w:tcW w:type="dxa" w:w="3528"/>
          </w:tcPr>
          <w:p>
            <w:r>
              <w:t>• Inspect storage systems, racking, blocking, and pallets per the manufacturer's instructions and remove from service any component showing deterioration or weakness (14-5.a).</w:t>
              <w:br/>
              <w:t>• Stack duct and equipment on level, compacted ground with blocking, and limit stack heights so materials cannot topple into walkways.</w:t>
              <w:br/>
              <w:t>• Inspect work and laydown areas daily for housekeeping and record the findings in daily inspection reports (14-5.c).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Crane and hoist operations — setting RTUs, chillers, and AHUs on roofs and pads</w:t>
            </w:r>
          </w:p>
        </w:tc>
        <w:tc>
          <w:tcPr>
            <w:tcW w:type="dxa" w:w="3528"/>
          </w:tcPr>
          <w:p>
            <w:r>
              <w:t>Dropped or shifted load from rigging failure or improper hitch during equipment picks</w:t>
            </w:r>
          </w:p>
        </w:tc>
        <w:tc>
          <w:tcPr>
            <w:tcW w:type="dxa" w:w="3528"/>
          </w:tcPr>
          <w:p>
            <w:r>
              <w:t>• Document the crane operator's certifications, qualifications, and written designation in the AHA and submit it for KO/COR acceptance before the pick (16-6.a); notify the KO or COR within 24 hours of the crane entering the site (16-5.c).</w:t>
              <w:br/>
              <w:t>• Have a CP perform and document the shift inspection of the crane before every operation, at the beginning of each shift, and after any operator change; do not lift until deficiencies are corrected (16-5.e(2)(a)).</w:t>
              <w:br/>
              <w:t>• Verify rigging capacity against the manufacturer's certified equipment weight, use safety latch-type hooks and shackles (15-5.g(8)), and control the load with tag lines (16-8.v(6)).</w:t>
              <w:br/>
              <w:t>• Immediately remove from service any LHE found unsafe until the condition is corrected (16-5.d).</w:t>
            </w:r>
          </w:p>
        </w:tc>
        <w:tc>
          <w:tcPr>
            <w:tcW w:type="dxa" w:w="3528"/>
          </w:tcPr>
          <w:p>
            <w:r>
              <w:t>M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Workers struck by the swinging load or caught in the swing radius</w:t>
            </w:r>
          </w:p>
        </w:tc>
        <w:tc>
          <w:tcPr>
            <w:tcW w:type="dxa" w:w="3528"/>
          </w:tcPr>
          <w:p>
            <w:r>
              <w:t>• Barricade accessible areas within the swing radius of the rotating superstructure and mounted items before hoisting begins (16-8.v(11)(b)).</w:t>
              <w:br/>
              <w:t>• Prohibit all personnel from working or passing under suspended loads; sequence other trades out of the lift zone during picks.</w:t>
              <w:br/>
              <w:t>• Maintain continuous, agreed communication between the operator, rigger, and signal person using a standard signal system — hand signals within 100 ft, radio beyond or without line of sight (16-8.v(4)).</w:t>
            </w:r>
          </w:p>
        </w:tc>
        <w:tc>
          <w:tcPr>
            <w:tcW w:type="dxa" w:w="3528"/>
          </w:tcPr>
          <w:p>
            <w:r>
              <w:t>M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Crane contact with overhead power lines or rooftop obstructions</w:t>
            </w:r>
          </w:p>
        </w:tc>
        <w:tc>
          <w:tcPr>
            <w:tcW w:type="dxa" w:w="3528"/>
          </w:tcPr>
          <w:p>
            <w:r>
              <w:t>• Identify overhead lines and rooftop obstructions in the lift planning and AHA before mobilizing the crane, and define the operating envelope for the LHE (16-8.v(8); Ch 11).</w:t>
              <w:br/>
              <w:t>• Coordinate with the installation to de-energize or maintain required clearance distances from any energized lines near the pick path, using a dedicated spotter when working near the clearance limit.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Installing ductwork, piping, and equipment at height from MEWPs, scaffolds, and ladders</w:t>
            </w:r>
          </w:p>
        </w:tc>
        <w:tc>
          <w:tcPr>
            <w:tcW w:type="dxa" w:w="3528"/>
          </w:tcPr>
          <w:p>
            <w:r>
              <w:t>Falls of 6 ft or more from MEWPs, scaffolds, mezzanines, roof edges, and floor openings</w:t>
            </w:r>
          </w:p>
        </w:tc>
        <w:tc>
          <w:tcPr>
            <w:tcW w:type="dxa" w:w="3528"/>
          </w:tcPr>
          <w:p>
            <w:r>
              <w:t>• Provide fall protection at the 6-ft (1.8 m) threshold for all work covered by the manual — 4 ft on USACE-owned or operated permanent facilities (21-8.a(1) and 21-8.a(2)).</w:t>
              <w:br/>
              <w:t>• Apply the fall protection hierarchy of controls when selecting the protective method for each task (21-8.b), preferring elimination and passive barriers such as guardrails over personal fall arrest.</w:t>
              <w:br/>
              <w:t>• Have each authorized person inspect personal fall protection equipment before each use, with documented CP inspections at least semi-annually, and remove from service any equipment subjected to a fall (21-5.a).</w:t>
              <w:br/>
              <w:t>• Verify MEWP operators have both general and equipment-specific training (22-3.d) and that the operator surveys the area and confirms a firm, level surface, manufacturer loading, and any required outriggers before elevating (22-4.c).</w:t>
            </w:r>
          </w:p>
        </w:tc>
        <w:tc>
          <w:tcPr>
            <w:tcW w:type="dxa" w:w="3528"/>
          </w:tcPr>
          <w:p>
            <w:r>
              <w:t>M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Scaffold collapse or ejection from an incomplete or defective scaffold</w:t>
            </w:r>
          </w:p>
        </w:tc>
        <w:tc>
          <w:tcPr>
            <w:tcW w:type="dxa" w:w="3528"/>
          </w:tcPr>
          <w:p>
            <w:r>
              <w:t>• Have the scaffold CP inspect all scaffold components for visible defects before each work shift and after any occurrence that could affect structural integrity (22-5.a).</w:t>
              <w:br/>
              <w:t>• Tag every scaffold before use with the CP's name, signature, and inspection dates, stating whether it is safe, incomplete, or unsafe (22-5.c).</w:t>
              <w:br/>
              <w:t>• Train every employee who works from a scaffold on its hazards, maximum intended load, and proper material handling (22-3.a).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Falls from damaged or misused ladders during hanger and trim work</w:t>
            </w:r>
          </w:p>
        </w:tc>
        <w:tc>
          <w:tcPr>
            <w:tcW w:type="dxa" w:w="3528"/>
          </w:tcPr>
          <w:p>
            <w:r>
              <w:t>• Inspect ladders for visible defects before each use and immediately tag damaged ladders 'DO NOT USE' and withdraw them from service (24-5.b).</w:t>
              <w:br/>
              <w:t>• Inspect all accessways daily to ensure they are free of hazards and obstructions (24-5.a).</w:t>
              <w:br/>
              <w:t>• Substitute podium ladders or MEWPs for extension ladders on repetitive overhead duct-hanger work where floor conditions allow.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Brazing, soldering, and welding of refrigerant and hydronic piping (hot work)</w:t>
            </w:r>
          </w:p>
        </w:tc>
        <w:tc>
          <w:tcPr>
            <w:tcW w:type="dxa" w:w="3528"/>
          </w:tcPr>
          <w:p>
            <w:r>
              <w:t>Fire ignition of combustible construction materials by brazing flame, sparks, or slag</w:t>
            </w:r>
          </w:p>
        </w:tc>
        <w:tc>
          <w:tcPr>
            <w:tcW w:type="dxa" w:w="3528"/>
          </w:tcPr>
          <w:p>
            <w:r>
              <w:t>• Obtain a hot work permit before hot work on federal installations unless the USACE supervisor/KO or COR indicates otherwise (10-8.d(2)).</w:t>
              <w:br/>
              <w:t>• Survey the area before starting to confirm no combustible materials within 35 ft (10.7 m) and no flammable vapors or oxygen-enriched atmospheres; move the work or the combustibles, or shield what cannot be moved (10-8.d(3), 10-8.d(4)).</w:t>
              <w:br/>
              <w:t>• Identify the CP for welding and the fire watch in the AHA; maintain the fire watch a minimum of 30 minutes after the exposure ends (10-6.d).</w:t>
              <w:br/>
              <w:t>• Keep suitable fire extinguishing equipment in the immediate vicinity, in a constant state of readiness (10-8.d(1)).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Toxic fume and oxygen-displacement exposure when brazing in mechanical rooms or shafts</w:t>
            </w:r>
          </w:p>
        </w:tc>
        <w:tc>
          <w:tcPr>
            <w:tcW w:type="dxa" w:w="3528"/>
          </w:tcPr>
          <w:p>
            <w:r>
              <w:t>• Develop the AHA to identify the metals, filler alloys, and welding process in use so fume hazards can be evaluated (10-6.a, 10-6.b).</w:t>
              <w:br/>
              <w:t>• Naturally or mechanically vent all brazing so exposures stay within acceptable limits, with local exhaust ventilation in enclosed or confined spaces (10-8.c(2)); where ventilation cannot control exposure, use respiratory protection selected under the Ch 5 program (10-3.a).</w:t>
              <w:br/>
              <w:t>• Never braze on piping or vessels under pressure or containing refrigerant; recover and purge lines first.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Compressed gas cylinder fire or violent release (oxy-fuel and nitrogen cylinders)</w:t>
            </w:r>
          </w:p>
        </w:tc>
        <w:tc>
          <w:tcPr>
            <w:tcW w:type="dxa" w:w="3528"/>
          </w:tcPr>
          <w:p>
            <w:r>
              <w:t>• Inspect torches, cables, shut-off valves, couplings, and tips before each use and remove defective equipment from service (10-5).</w:t>
              <w:br/>
              <w:t>• Keep oxygen cylinders, valves, regulators, and fittings free of oil and grease and never handle them with oily hands or gloves (20-8.d(17), 29 CFR 1926.350).</w:t>
              <w:br/>
              <w:t>• Secure all cylinders upright, cap them when not in regulator service, and segregate oxygen from fuel gas in storage.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Electrical rough-in and equipment tie-ins to building power</w:t>
            </w:r>
          </w:p>
        </w:tc>
        <w:tc>
          <w:tcPr>
            <w:tcW w:type="dxa" w:w="3528"/>
          </w:tcPr>
          <w:p>
            <w:r>
              <w:t>Shock or arc flash from unexpected energization while connecting units, VFDs, and disconnects</w:t>
            </w:r>
          </w:p>
        </w:tc>
        <w:tc>
          <w:tcPr>
            <w:tcW w:type="dxa" w:w="3528"/>
          </w:tcPr>
          <w:p>
            <w:r>
              <w:t>• Before any tie-in on a system that produces, uses, or stores hazardous energy, develop the Site-Specific Energy Control Plan with its Hazardous Energy Isolation Procedures (HIPs) and AHAs and obtain KO or COR acceptance; all Authorized Individuals must review them (12-8.a(3)).</w:t>
              <w:br/>
              <w:t>• Lock out every energy isolating device capable of being locked out; use tagout with equivalent supplementary protection only where lockout is not possible (12-8.b(1)).</w:t>
              <w:br/>
              <w:t>• Assign electrical connections only to Qualified Persons trained at a minimum to NFPA 70E, with documented, verifiable training (11-3.b).</w:t>
              <w:br/>
              <w:t>• Verify zero energy at the point of work with a rated tester before contact, per the accepted isolation procedure and 29 CFR 1926.417.</w:t>
            </w:r>
          </w:p>
        </w:tc>
        <w:tc>
          <w:tcPr>
            <w:tcW w:type="dxa" w:w="3528"/>
          </w:tcPr>
          <w:p>
            <w:r>
              <w:t>M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Shock from damaged cords and temporary power feeding drills, threaders, and vacuum pumps</w:t>
            </w:r>
          </w:p>
        </w:tc>
        <w:tc>
          <w:tcPr>
            <w:tcW w:type="dxa" w:w="3528"/>
          </w:tcPr>
          <w:p>
            <w:r>
              <w:t>• Provide GFCI protection for personnel on all 125-volt, 15-, 20-, and 30-amp receptacle outlets supplying temporary power and on all circuits serving portable and semi-portable electric tools (11-8.l(9)).</w:t>
              <w:br/>
              <w:t>• Inspect all portable flexible cords and cables before use on each shift and remove damaged cords from service (11-5.d).</w:t>
              <w:br/>
              <w:t>• Test GFCIs monthly, and test temporary distribution systems for polarity, ground continuity, and ground resistance before initial use and after modification (11-5.e).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Work inside air plenums, ducts, crawl spaces, and mechanical pits</w:t>
            </w:r>
          </w:p>
        </w:tc>
        <w:tc>
          <w:tcPr>
            <w:tcW w:type="dxa" w:w="3528"/>
          </w:tcPr>
          <w:p>
            <w:r>
              <w:t>Hazardous atmosphere or engulfment/entrapment in confined spaces (plenums, large ducts, pits)</w:t>
            </w:r>
          </w:p>
        </w:tc>
        <w:tc>
          <w:tcPr>
            <w:tcW w:type="dxa" w:w="3528"/>
          </w:tcPr>
          <w:p>
            <w:r>
              <w:t>• Evaluate and classify each plenum, duct section, crawl space, and pit against the Ch 34 confined space criteria before anyone enters; identify all existing and potential hazards in the AHA (34-6.a).</w:t>
              <w:br/>
              <w:t>• For permit-required spaces, have the Entry Supervisor develop and submit a written Site-Specific Confined Space Plan — including the permit process, atmospheric monitoring procedures, communication methods, and rescue plan — for acceptance before work begins (34-7.b).</w:t>
              <w:br/>
              <w:t>• Conduct documented pre-entry inspections of atmospheric testing and monitoring equipment, including calibration records, plus ventilation, retrieval, and rescue equipment (34-5.a through 34-5.j).</w:t>
              <w:br/>
              <w:t>• Train all personnel working in or around confined spaces before first assignment and at least annually, including permit completion and rescue exercises (34-3.a, 34-3.b).</w:t>
            </w:r>
          </w:p>
        </w:tc>
        <w:tc>
          <w:tcPr>
            <w:tcW w:type="dxa" w:w="3528"/>
          </w:tcPr>
          <w:p>
            <w:r>
              <w:t>M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Contact with unidentified in-duct hazards (energized heaters, rotating dampers/fans) during interior duct work</w:t>
            </w:r>
          </w:p>
        </w:tc>
        <w:tc>
          <w:tcPr>
            <w:tcW w:type="dxa" w:w="3528"/>
          </w:tcPr>
          <w:p>
            <w:r>
              <w:t>• Apply the SSECP and equipment-specific isolation procedures to lock out duct heaters, fan motors, and damper actuators before interior work (12-8.a(3)).</w:t>
              <w:br/>
              <w:t>• Instruct all incidental personnel in the prohibition against restarting or reenergizing locked- or tagged-out equipment (12-3.d).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Pressure testing of refrigerant piping and hydronic systems</w:t>
            </w:r>
          </w:p>
        </w:tc>
        <w:tc>
          <w:tcPr>
            <w:tcW w:type="dxa" w:w="3528"/>
          </w:tcPr>
          <w:p>
            <w:r>
              <w:t>Violent release of stored energy — fitting blow-off, pipe whip, or projectile failure during pneumatic testing</w:t>
            </w:r>
          </w:p>
        </w:tc>
        <w:tc>
          <w:tcPr>
            <w:tcW w:type="dxa" w:w="3528"/>
          </w:tcPr>
          <w:p>
            <w:r>
              <w:t>• Do not use pressurized gases or air for structural integrity or leak testing except when permitted by the manufacturer's specifications or an applicable code (20-8.e(1)); use hydrostatic testing where the system allows.</w:t>
              <w:br/>
              <w:t>• Have a CP develop the test procedures, submit them to the KO or COR for acceptance, and supervise the testing; all workers performing the test must know the procedures, hazards, and controls (20-8.e(2)).</w:t>
              <w:br/>
              <w:t>• If acceptance testing occurs two or more months after the initial piping preparatory meeting, conduct a supplemental preparatory meeting to re-review the test procedures and AHA before testing (20-8.e(3)).</w:t>
              <w:br/>
              <w:t>• Barricade an exclusion zone around the test section sized to the stored energy, and never exceed design pressure or defeat relief devices (20-8.a(3), 20-8.a(4)).</w:t>
            </w:r>
          </w:p>
        </w:tc>
        <w:tc>
          <w:tcPr>
            <w:tcW w:type="dxa" w:w="3528"/>
          </w:tcPr>
          <w:p>
            <w:r>
              <w:t>M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Failure of regulators, hoses, or gauges on nitrogen test rigs</w:t>
            </w:r>
          </w:p>
        </w:tc>
        <w:tc>
          <w:tcPr>
            <w:tcW w:type="dxa" w:w="3528"/>
          </w:tcPr>
          <w:p>
            <w:r>
              <w:t>• Inspect and performance-test pressurized equipment before placing it in service and after any repair or modification (20-5.a(1)).</w:t>
              <w:br/>
              <w:t>• Have a CP perform and document visual inspections of temporary or portable pressurized equipment at least every six months (20-5.a(3)).</w:t>
              <w:br/>
              <w:t>• Tag any pressurized equipment found unsafe as 'UNSAFE PRESSURIZED SYSTEM - DO NOT USE' at the controls and remove it from service until corrected (20-8.a(1)).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System startup, refrigerant charging, commissioning, and demobilization</w:t>
            </w:r>
          </w:p>
        </w:tc>
        <w:tc>
          <w:tcPr>
            <w:tcW w:type="dxa" w:w="3528"/>
          </w:tcPr>
          <w:p>
            <w:r>
              <w:t>Refrigerant release causing frostbite injury or oxygen displacement in mechanical rooms</w:t>
            </w:r>
          </w:p>
        </w:tc>
        <w:tc>
          <w:tcPr>
            <w:tcW w:type="dxa" w:w="3528"/>
          </w:tcPr>
          <w:p>
            <w:r>
              <w:t>• Charge and recover refrigerant only with trained technicians using recovery equipment rated for the refrigerant, following the SDS handling requirements.</w:t>
              <w:br/>
              <w:t>• Ventilate mechanical rooms during charging and monitor enclosed spaces where a large release could displace oxygen (see Ch 34 for enclosed-space evaluation).</w:t>
              <w:br/>
              <w:t>• Wear insulated gloves and eye protection when connecting or breaking charging hoses.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Contact with rotating fans, belts, and drives during commissioning checks</w:t>
            </w:r>
          </w:p>
        </w:tc>
        <w:tc>
          <w:tcPr>
            <w:tcW w:type="dxa" w:w="3528"/>
          </w:tcPr>
          <w:p>
            <w:r>
              <w:t>• Apply the accepted hazardous energy isolation procedures before removing guards or working on drives; only Authorized Individuals may perform LOTO (12-8.b(2)).</w:t>
              <w:br/>
              <w:t>• Reinstall all guards and verify interlocks before functional testing, and keep hands, tools, and clothing clear during rotation checks.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Slips, trips, and lacerations during cleanup and demobilization</w:t>
            </w:r>
          </w:p>
        </w:tc>
        <w:tc>
          <w:tcPr>
            <w:tcW w:type="dxa" w:w="3528"/>
          </w:tcPr>
          <w:p>
            <w:r>
              <w:t>• Inspect work areas daily for adequate housekeeping and record findings in the daily inspection reports (14-5.c).</w:t>
              <w:br/>
              <w:t>• Remove scrap duct, banding, and pipe cutoffs to designated containers daily; sheet metal edges are cut-resistant-glove work.</w:t>
              <w:br/>
              <w:t>• Inspect accessways daily to keep exit routes clear through demobilization (24-5.a).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</w:tbl>
    <w:p>
      <w:pPr>
        <w:pStyle w:val="Heading1"/>
      </w:pPr>
      <w:r>
        <w:t>Equipment · Training · Inspections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>
              <w:t>EQUIPMENT</w:t>
            </w:r>
          </w:p>
        </w:tc>
        <w:tc>
          <w:tcPr>
            <w:tcW w:type="dxa" w:w="4704"/>
          </w:tcPr>
          <w:p>
            <w:r>
              <w:t>TRAINING</w:t>
            </w:r>
          </w:p>
        </w:tc>
        <w:tc>
          <w:tcPr>
            <w:tcW w:type="dxa" w:w="4704"/>
          </w:tcPr>
          <w:p>
            <w:r>
              <w:t>INSPECTION</w:t>
            </w:r>
          </w:p>
        </w:tc>
      </w:tr>
      <w:tr>
        <w:tc>
          <w:tcPr>
            <w:tcW w:type="dxa" w:w="4704"/>
          </w:tcPr>
          <w:p>
            <w:r>
              <w:t>• Mobile crane / material hoist for setting rooftop and pad-mounted units (Ch 16)</w:t>
              <w:br/>
              <w:t>• Forklift / telehandler for offloading and staging (Ch 14, 18-8.i)</w:t>
              <w:br/>
              <w:t>• Mobile elevating work platforms (MEWPs) — scissor and boom lifts (22-8.m)</w:t>
              <w:br/>
              <w:t>• Scaffolds and ladders for duct and piping runs (Ch 22, Ch 24)</w:t>
              <w:br/>
              <w:t>• Rigging hardware with safety latch-type hooks and tag lines (15-5.g(8), 16-8.v(6))</w:t>
              <w:br/>
              <w:t>• Oxy-fuel brazing/torch outfits with regulators and flashback arrestors (Ch 10, 29 CFR 1926.350)</w:t>
              <w:br/>
              <w:t>• Nitrogen cylinders, regulators, gauges, and manifolds for pressure testing (Ch 20)</w:t>
              <w:br/>
              <w:t>• Personal fall arrest systems and anchorages (Ch 21)</w:t>
              <w:br/>
              <w:t>• GFCI-protected temporary power, cords, and portable electric tools (11-8.l(9))</w:t>
              <w:br/>
              <w:t>• Lockout/tagout locks, tags, and isolation devices (12-8.b)</w:t>
              <w:br/>
              <w:t>• Calibrated multi-gas atmospheric monitor, ventilation blower, and retrieval equipment for confined space entries (34-5)</w:t>
              <w:br/>
              <w:t>• Fire extinguishers staged at each hot work location (10-8.d(1))</w:t>
            </w:r>
          </w:p>
        </w:tc>
        <w:tc>
          <w:tcPr>
            <w:tcW w:type="dxa" w:w="4704"/>
          </w:tcPr>
          <w:p>
            <w:r>
              <w:t>• Crane/hoist operator certification, employer qualification, and written designation (16-3.a, 16-3.c)</w:t>
              <w:br/>
              <w:t>• Powered industrial truck / telehandler operator training and certification per 29 CFR 1910.178, on the same type of truck used on the job (18-3.f, 18-8.i(3))</w:t>
              <w:br/>
              <w:t>• MEWP operator training with general and equipment-specific familiarization; occupant instruction in emergency lowering procedures per ANSI A92.24 (22-3.d, 22-3.e)</w:t>
              <w:br/>
              <w:t>• Scaffold user training by a person qualified in the subject matter; 8-hour minimum CP scaffold training (22-3.a, 22-3.b)</w:t>
              <w:br/>
              <w:t>• Fall protection training for Authorized Persons conducted by a CP before use of the equipment; CP for fall protection with a 24-hour minimum initial course (21-3.d, 21-3.c)</w:t>
              <w:br/>
              <w:t>• Welder designation in writing with proof of qualification attached; training in safe welding practices, respirator use, and fire protection (10-3.a, 10-3.b)</w:t>
              <w:br/>
              <w:t>• Electrical safety training for all exposed employees; Qualified Persons trained at a minimum to NFPA 70E with documented, verifiable training (11-3.a, 11-3.b, 11-3.g)</w:t>
              <w:br/>
              <w:t>• Hazardous energy control training for Authorized Individuals, Affected Persons, and Incidental Individuals per the SSECP (12-3.a through 12-3.d)</w:t>
              <w:br/>
              <w:t>• Confined space training before first assignment and at least annually, including permits, monitoring equipment, and rescue exercises (34-3.a, 34-3.b, 34-3.c)</w:t>
              <w:br/>
              <w:t>• Safe lifting techniques for all material handling crews (14-3.a)</w:t>
            </w:r>
          </w:p>
        </w:tc>
        <w:tc>
          <w:tcPr>
            <w:tcW w:type="dxa" w:w="4704"/>
          </w:tcPr>
          <w:p>
            <w:r>
              <w:t>• CP shift inspection of all load handling equipment before every operation, each shift, and after operator changes — documented and kept 12 months or life of contract (16-5.e(2)(a))</w:t>
              <w:br/>
              <w:t>• KO/COR notification within 24 hours of any LHE entering the site (16-5.c)</w:t>
              <w:br/>
              <w:t>• Scaffold CP inspection before each work shift with documented scaffold tags (22-5.a, 22-5.c); MEWP pre-operation survey and setup checks by the operator (22-4.c)</w:t>
              <w:br/>
              <w:t>• Personal fall protection: user inspection before each use; documented CP inspection at least semi-annually and after any fall (21-5.a)</w:t>
              <w:br/>
              <w:t>• Ladders inspected for visible defects before each use; accessways inspected daily (24-5.b, 24-5.a)</w:t>
              <w:br/>
              <w:t>• Welding/brazing equipment — torches, cables, valves, couplings, tips — inspected before each use (10-5)</w:t>
              <w:br/>
              <w:t>• Flexible cords inspected each shift; GFCIs tested monthly; temporary distribution systems tested before initial use and after modification (11-5.d, 11-5.e)</w:t>
              <w:br/>
              <w:t>• Pressurized equipment inspected before placing in service and after repair; CP visual inspections of temporary/portable pressure equipment at least every six months (20-5.a(1), 20-5.a(3))</w:t>
              <w:br/>
              <w:t>• Atmospheric monitors and confined space entry equipment inspected with documented calibration before each entry (34-5.a)</w:t>
              <w:br/>
              <w:t>• Daily housekeeping inspections recorded in daily reports (14-5.c)</w:t>
            </w:r>
          </w:p>
        </w:tc>
      </w:tr>
    </w:tbl>
    <w:p>
      <w:pPr>
        <w:pStyle w:val="Heading1"/>
      </w:pPr>
      <w:r>
        <w:t>Competent / Qualified Person Designation</w:t>
      </w:r>
    </w:p>
    <w:p>
      <w:pPr>
        <w:pStyle w:val="ListBullet"/>
      </w:pPr>
      <w:r>
        <w:t>Designated crane/hoist operator (written designation) and CP for LHE shift inspections; Lift Director where lift plans are required (16-3.a, 16-3.b, 16-5.e(2)(a))</w:t>
      </w:r>
    </w:p>
    <w:p>
      <w:pPr>
        <w:pStyle w:val="ListBullet"/>
      </w:pPr>
      <w:r>
        <w:t>CP for welding and fire watch, identified by name in the AHA (10-6.d)</w:t>
      </w:r>
    </w:p>
    <w:p>
      <w:pPr>
        <w:pStyle w:val="ListBullet"/>
      </w:pPr>
      <w:r>
        <w:t>CP for fall protection (21-3.c) and CP for scaffolding (22-3.b)</w:t>
      </w:r>
    </w:p>
    <w:p>
      <w:pPr>
        <w:pStyle w:val="ListBullet"/>
      </w:pPr>
      <w:r>
        <w:t>Qualified Person (electrical) with verifiable credentials for all electrical tie-ins (11-3.b)</w:t>
      </w:r>
    </w:p>
    <w:p>
      <w:pPr>
        <w:pStyle w:val="ListBullet"/>
      </w:pPr>
      <w:r>
        <w:t>Authorized Individuals for lockout/tagout under the accepted SSECP (12-3.b, 12-8.b(2))</w:t>
      </w:r>
    </w:p>
    <w:p>
      <w:pPr>
        <w:pStyle w:val="ListBullet"/>
      </w:pPr>
      <w:r>
        <w:t>CP to develop and supervise pressure test procedures submitted for KO/COR acceptance (20-4.b, 20-8.e(2))</w:t>
      </w:r>
    </w:p>
    <w:p>
      <w:pPr>
        <w:pStyle w:val="ListBullet"/>
      </w:pPr>
      <w:r>
        <w:t>Confined space Entry Supervisor, plus trained Entrants and Attendants, for plenum/pit entries (34-3, 34-7.b)</w:t>
      </w:r>
    </w:p>
    <w:p>
      <w:pPr>
        <w:pStyle w:val="ListBullet"/>
      </w:pPr>
      <w:r>
        <w:t>All CP/QP designations must be documented in writing by name in the AHA (2-6.d(4)(g))</w:t>
      </w:r>
    </w:p>
    <w:p>
      <w:r>
        <w:t>Designated CP/QP (name / role / proof of competency): ____________________</w:t>
      </w:r>
    </w:p>
    <w:p>
      <w:pPr>
        <w:pStyle w:val="Heading1"/>
      </w:pPr>
      <w:r>
        <w:t>Approval Authority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PRINTED NAME</w:t>
            </w:r>
          </w:p>
        </w:tc>
        <w:tc>
          <w:tcPr>
            <w:tcW w:type="dxa" w:w="3528"/>
          </w:tcPr>
          <w:p>
            <w:r>
              <w:t>PRINTED TITLE</w:t>
            </w:r>
          </w:p>
        </w:tc>
        <w:tc>
          <w:tcPr>
            <w:tcW w:type="dxa" w:w="3528"/>
          </w:tcPr>
          <w:p>
            <w:r>
              <w:t>DATE</w:t>
            </w:r>
          </w:p>
        </w:tc>
        <w:tc>
          <w:tcPr>
            <w:tcW w:type="dxa" w:w="3528"/>
          </w:tcPr>
          <w:p>
            <w:r>
              <w:t>SIGNATURE</w:t>
            </w:r>
          </w:p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</w:tbl>
    <w:p>
      <w:r>
        <w:rPr>
          <w:sz w:val="16"/>
        </w:rPr>
        <w:t>Approval Authority is based on overall RAC per EM 385-1-1 (2024), para 1-6 or 2-6, as applicable.</w:t>
      </w:r>
    </w:p>
    <w:p>
      <w:r>
        <w:br w:type="page"/>
      </w:r>
    </w:p>
    <w:p>
      <w:pPr>
        <w:pStyle w:val="Heading1"/>
      </w:pPr>
      <w:r>
        <w:t>Employee Documentation Sheet</w:t>
      </w:r>
    </w:p>
    <w:p>
      <w:r>
        <w:t>AHAs must be provided to and reviewed by all involved employees prior to starting the task. Each employee must document their review with a signature (EM 385-1-1 2024, para 2-6.d(2)).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NAME</w:t>
            </w:r>
          </w:p>
        </w:tc>
        <w:tc>
          <w:tcPr>
            <w:tcW w:type="dxa" w:w="3528"/>
          </w:tcPr>
          <w:p>
            <w:r>
              <w:t>OCCUPATION / DESIGNATION (CP/QP)</w:t>
            </w:r>
          </w:p>
        </w:tc>
        <w:tc>
          <w:tcPr>
            <w:tcW w:type="dxa" w:w="3528"/>
          </w:tcPr>
          <w:p>
            <w:r>
              <w:t>SIGNATURE</w:t>
            </w:r>
          </w:p>
        </w:tc>
        <w:tc>
          <w:tcPr>
            <w:tcW w:type="dxa" w:w="3528"/>
          </w:tcPr>
          <w:p>
            <w:r>
              <w:t>DATE</w:t>
            </w:r>
          </w:p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</w:tbl>
    <w:p>
      <w:pPr>
        <w:pStyle w:val="Heading1"/>
      </w:pPr>
      <w:r>
        <w:t>References</w:t>
      </w:r>
    </w:p>
    <w:p>
      <w:pPr>
        <w:pStyle w:val="ListBullet"/>
      </w:pPr>
      <w:r>
        <w:t>EM 385-1-1 (2024) Ch 14 — Material Handling, Storage, Disposal, and Conveyors</w:t>
      </w:r>
    </w:p>
    <w:p>
      <w:pPr>
        <w:pStyle w:val="ListBullet"/>
      </w:pPr>
      <w:r>
        <w:t>EM 385-1-1 (2024) Ch 16 — Load Handling Equipment</w:t>
      </w:r>
    </w:p>
    <w:p>
      <w:pPr>
        <w:pStyle w:val="ListBullet"/>
      </w:pPr>
      <w:r>
        <w:t>EM 385-1-1 (2024) Ch 10 — Welding and Cutting</w:t>
      </w:r>
    </w:p>
    <w:p>
      <w:pPr>
        <w:pStyle w:val="ListBullet"/>
      </w:pPr>
      <w:r>
        <w:t>EM 385-1-1 (2024) Ch 11 — Electrical</w:t>
      </w:r>
    </w:p>
    <w:p>
      <w:pPr>
        <w:pStyle w:val="ListBullet"/>
      </w:pPr>
      <w:r>
        <w:t>EM 385-1-1 (2024) Ch 12 — Control of Hazardous Energy</w:t>
      </w:r>
    </w:p>
    <w:p>
      <w:pPr>
        <w:pStyle w:val="ListBullet"/>
      </w:pPr>
      <w:r>
        <w:t>EM 385-1-1 (2024) Ch 20 — Pressurized Equipment and Systems</w:t>
      </w:r>
    </w:p>
    <w:p>
      <w:pPr>
        <w:pStyle w:val="ListBullet"/>
      </w:pPr>
      <w:r>
        <w:t>EM 385-1-1 (2024) Ch 21 — Fall Protection</w:t>
      </w:r>
    </w:p>
    <w:p>
      <w:pPr>
        <w:pStyle w:val="ListBullet"/>
      </w:pPr>
      <w:r>
        <w:t>EM 385-1-1 (2024) Ch 22 — Working Platforms and Scaffolding</w:t>
      </w:r>
    </w:p>
    <w:p>
      <w:pPr>
        <w:pStyle w:val="ListBullet"/>
      </w:pPr>
      <w:r>
        <w:t>EM 385-1-1 (2024) Ch 24 — Safe Access</w:t>
      </w:r>
    </w:p>
    <w:p>
      <w:pPr>
        <w:pStyle w:val="ListBullet"/>
      </w:pPr>
      <w:r>
        <w:t>EM 385-1-1 (2024) Ch 34 — Confined Space</w:t>
      </w:r>
    </w:p>
    <w:p>
      <w:pPr>
        <w:pStyle w:val="ListBullet"/>
      </w:pPr>
      <w:r>
        <w:t>29 CFR 1926 Subpart K — Electrical (1926.404(b)(1) GFCI/AEGCP, 1926.405 wiring methods)</w:t>
      </w:r>
    </w:p>
    <w:p>
      <w:pPr>
        <w:pStyle w:val="ListBullet"/>
      </w:pPr>
      <w:r>
        <w:t>29 CFR 1926.350-.354 — Subpart J — Welding and Cutting (gas welding, arc welding, fire prevention, ventilation)</w:t>
      </w:r>
    </w:p>
    <w:p>
      <w:pPr>
        <w:pStyle w:val="ListBullet"/>
      </w:pPr>
      <w:r>
        <w:t>29 CFR 1926.500-.503 — Subpart M — Fall Protection</w:t>
      </w:r>
    </w:p>
    <w:p>
      <w:pPr>
        <w:pStyle w:val="ListBullet"/>
      </w:pPr>
      <w:r>
        <w:t>29 CFR 1926 Subpart H — Materials Handling, Storage, Use, and Disposal (1926.250-.252)</w:t>
      </w:r>
    </w:p>
    <w:p>
      <w:pPr>
        <w:pStyle w:val="ListBullet"/>
      </w:pPr>
      <w:r>
        <w:t>29 CFR 1926.417 — Lockout and Tagging of Circuits</w:t>
      </w:r>
    </w:p>
    <w:sectPr w:rsidR="00FC693F" w:rsidRPr="0006063C" w:rsidSect="00034616">
      <w:pgSz w:w="15840" w:h="12240" w:orient="landscape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